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CCE2" w14:textId="77777777" w:rsidR="003377CF" w:rsidRPr="008D631A" w:rsidRDefault="00800557" w:rsidP="008D631A">
      <w:pPr>
        <w:jc w:val="center"/>
        <w:rPr>
          <w:b/>
          <w:sz w:val="28"/>
          <w:szCs w:val="28"/>
        </w:rPr>
      </w:pPr>
      <w:r w:rsidRPr="008D631A">
        <w:rPr>
          <w:b/>
          <w:sz w:val="28"/>
          <w:szCs w:val="28"/>
        </w:rPr>
        <w:t>NOMAD FOODS LIMITED</w:t>
      </w:r>
    </w:p>
    <w:p w14:paraId="77F6D0CA" w14:textId="77777777" w:rsidR="00800557" w:rsidRPr="008D631A" w:rsidRDefault="00800557" w:rsidP="008D631A">
      <w:pPr>
        <w:jc w:val="center"/>
        <w:rPr>
          <w:b/>
          <w:sz w:val="28"/>
          <w:szCs w:val="28"/>
        </w:rPr>
      </w:pPr>
      <w:r w:rsidRPr="008D631A">
        <w:rPr>
          <w:b/>
          <w:sz w:val="28"/>
          <w:szCs w:val="28"/>
        </w:rPr>
        <w:t>TAX STRATEGY</w:t>
      </w:r>
    </w:p>
    <w:p w14:paraId="52B4DBA7" w14:textId="77777777" w:rsidR="00800557" w:rsidRPr="008D631A" w:rsidRDefault="00800557">
      <w:pPr>
        <w:rPr>
          <w:b/>
        </w:rPr>
      </w:pPr>
    </w:p>
    <w:p w14:paraId="7F5B82AF" w14:textId="77777777" w:rsidR="00800557" w:rsidRPr="008D631A" w:rsidRDefault="00800557">
      <w:pPr>
        <w:rPr>
          <w:b/>
        </w:rPr>
      </w:pPr>
      <w:r w:rsidRPr="008D631A">
        <w:rPr>
          <w:b/>
        </w:rPr>
        <w:t>1 INTRODUCTION</w:t>
      </w:r>
    </w:p>
    <w:p w14:paraId="74B17ECA" w14:textId="77777777" w:rsidR="00800557" w:rsidRDefault="00800557"/>
    <w:p w14:paraId="5859F81A" w14:textId="0332E0FD" w:rsidR="00800557" w:rsidRDefault="00800557">
      <w:r>
        <w:t>This document, approved by the Board of Nomad Foods Ltd, sets out the policy and a</w:t>
      </w:r>
      <w:r w:rsidR="00301F21">
        <w:t>pproach of Nomad Foods Ltd</w:t>
      </w:r>
      <w:r>
        <w:t xml:space="preserve"> (the “Group”) to conducting its tax affairs and dealing with tax risk, and is made available to all of the Group’s stakeholders. The document will be periodically reviewed by Group Tax and any </w:t>
      </w:r>
      <w:r w:rsidR="00301F21">
        <w:t xml:space="preserve">material </w:t>
      </w:r>
      <w:r>
        <w:t>amendments will be approved by the Board of Directors of Nomad Foods Ltd. It is effective f</w:t>
      </w:r>
      <w:r w:rsidR="00934053">
        <w:t>or</w:t>
      </w:r>
      <w:r>
        <w:t xml:space="preserve"> the year ended December 31, </w:t>
      </w:r>
      <w:r w:rsidR="00934053">
        <w:t>20</w:t>
      </w:r>
      <w:r w:rsidR="005D7D0F">
        <w:t>2</w:t>
      </w:r>
      <w:r w:rsidR="003377CF">
        <w:t>4</w:t>
      </w:r>
      <w:r>
        <w:t>.</w:t>
      </w:r>
    </w:p>
    <w:p w14:paraId="0E8FECDE" w14:textId="77777777" w:rsidR="00800557" w:rsidRPr="008D631A" w:rsidRDefault="00800557">
      <w:pPr>
        <w:rPr>
          <w:b/>
        </w:rPr>
      </w:pPr>
    </w:p>
    <w:p w14:paraId="427EB7F2" w14:textId="77777777" w:rsidR="00800557" w:rsidRPr="008D631A" w:rsidRDefault="00800557">
      <w:pPr>
        <w:rPr>
          <w:b/>
        </w:rPr>
      </w:pPr>
      <w:r w:rsidRPr="008D631A">
        <w:rPr>
          <w:b/>
        </w:rPr>
        <w:t>2 GROUP TAX POLICY</w:t>
      </w:r>
    </w:p>
    <w:p w14:paraId="12639AB4" w14:textId="77777777" w:rsidR="00800557" w:rsidRDefault="00800557"/>
    <w:p w14:paraId="1232B26D" w14:textId="77777777" w:rsidR="00800557" w:rsidRDefault="00800557">
      <w:r>
        <w:t>The Group’s policy in relation to tax is to:</w:t>
      </w:r>
    </w:p>
    <w:p w14:paraId="3DF3BA91" w14:textId="77777777" w:rsidR="00800557" w:rsidRDefault="00800557" w:rsidP="00800557">
      <w:pPr>
        <w:pStyle w:val="ListParagraph"/>
        <w:numPr>
          <w:ilvl w:val="0"/>
          <w:numId w:val="1"/>
        </w:numPr>
      </w:pPr>
      <w:r>
        <w:t>Act with integrity in all tax matters;</w:t>
      </w:r>
    </w:p>
    <w:p w14:paraId="4A4924A4" w14:textId="77777777" w:rsidR="00800557" w:rsidRDefault="00800557" w:rsidP="001840C5">
      <w:pPr>
        <w:pStyle w:val="ListParagraph"/>
        <w:numPr>
          <w:ilvl w:val="0"/>
          <w:numId w:val="1"/>
        </w:numPr>
      </w:pPr>
      <w:r>
        <w:t>Comply with all relevant laws, rules, regulations and reporting and disclosure requirement</w:t>
      </w:r>
      <w:r w:rsidR="001840C5">
        <w:t>s wherever the Group</w:t>
      </w:r>
      <w:r>
        <w:t xml:space="preserve"> operate</w:t>
      </w:r>
      <w:r w:rsidR="001840C5">
        <w:t>s</w:t>
      </w:r>
      <w:r>
        <w:t>;</w:t>
      </w:r>
    </w:p>
    <w:p w14:paraId="730F8ADB" w14:textId="77777777" w:rsidR="00800557" w:rsidRDefault="00800557" w:rsidP="00800557">
      <w:pPr>
        <w:pStyle w:val="ListParagraph"/>
        <w:numPr>
          <w:ilvl w:val="0"/>
          <w:numId w:val="1"/>
        </w:numPr>
      </w:pPr>
      <w:r>
        <w:t>Ensure that the tax strategy is at all times consistent with the Group’s overall strategy, its approach to risk and its core values;</w:t>
      </w:r>
    </w:p>
    <w:p w14:paraId="364EE740" w14:textId="77777777" w:rsidR="00800557" w:rsidRDefault="00800557" w:rsidP="00800557">
      <w:pPr>
        <w:pStyle w:val="ListParagraph"/>
        <w:numPr>
          <w:ilvl w:val="0"/>
          <w:numId w:val="1"/>
        </w:numPr>
      </w:pPr>
      <w:r>
        <w:t>Apply professional diligence and care in the management of all risks associated with tax matters and to ensure that governance and assurance procedures are appropriate;</w:t>
      </w:r>
    </w:p>
    <w:p w14:paraId="0C0A471D" w14:textId="41BB868E" w:rsidR="00800557" w:rsidRDefault="00800557" w:rsidP="00800557">
      <w:pPr>
        <w:pStyle w:val="ListParagraph"/>
        <w:numPr>
          <w:ilvl w:val="0"/>
          <w:numId w:val="1"/>
        </w:numPr>
      </w:pPr>
      <w:r>
        <w:t xml:space="preserve">Maximise shareholder value by using incentives and reliefs where appropriate to reduce the tax costs of conducting the Group’s business activities, </w:t>
      </w:r>
      <w:r w:rsidR="005A6132">
        <w:t xml:space="preserve">albeit </w:t>
      </w:r>
      <w:r>
        <w:t>in a manner con</w:t>
      </w:r>
      <w:r w:rsidR="005A6132">
        <w:t>sistent with the principles set out in the Tax Strategy</w:t>
      </w:r>
      <w:r>
        <w:t>;</w:t>
      </w:r>
    </w:p>
    <w:p w14:paraId="5225CF59" w14:textId="00538468" w:rsidR="00551673" w:rsidRDefault="00551673" w:rsidP="00800557">
      <w:pPr>
        <w:pStyle w:val="ListParagraph"/>
        <w:numPr>
          <w:ilvl w:val="0"/>
          <w:numId w:val="1"/>
        </w:numPr>
      </w:pPr>
      <w:r>
        <w:t>Not use secrecy jurisdictions (so-called “tax havens”) for the purposes of tax planning;</w:t>
      </w:r>
    </w:p>
    <w:p w14:paraId="0156D43E" w14:textId="77777777" w:rsidR="00800557" w:rsidRPr="008D631A" w:rsidRDefault="00800557" w:rsidP="00800557">
      <w:pPr>
        <w:rPr>
          <w:b/>
        </w:rPr>
      </w:pPr>
    </w:p>
    <w:p w14:paraId="7B19048B" w14:textId="77777777" w:rsidR="003E42FF" w:rsidRPr="008D631A" w:rsidRDefault="003E42FF" w:rsidP="00800557">
      <w:pPr>
        <w:rPr>
          <w:b/>
        </w:rPr>
      </w:pPr>
      <w:r w:rsidRPr="008D631A">
        <w:rPr>
          <w:b/>
        </w:rPr>
        <w:t>3 TAX GOVERNANCE FRAMEWORK</w:t>
      </w:r>
    </w:p>
    <w:p w14:paraId="09D04748" w14:textId="77777777" w:rsidR="003E42FF" w:rsidRDefault="003E42FF" w:rsidP="00800557"/>
    <w:p w14:paraId="164B3AB3" w14:textId="06EC4EE8" w:rsidR="003E42FF" w:rsidRDefault="00387748" w:rsidP="00800557">
      <w:r>
        <w:t>Responsibility for the tax policy and management of tax risk rests with the Chief Financial Officer, to whom the Group Head of Tax</w:t>
      </w:r>
      <w:r w:rsidR="00551673">
        <w:t xml:space="preserve"> &amp; Treasury</w:t>
      </w:r>
      <w:r>
        <w:t xml:space="preserve"> report</w:t>
      </w:r>
      <w:r w:rsidR="00402DEF">
        <w:t>s</w:t>
      </w:r>
      <w:r>
        <w:t>. The tax affairs of the Group and any identified tax risks are discussed with the Group Audit Committee on a quarterly basis.</w:t>
      </w:r>
    </w:p>
    <w:p w14:paraId="5F179894" w14:textId="77777777" w:rsidR="005F4451" w:rsidRDefault="005F4451" w:rsidP="00800557"/>
    <w:p w14:paraId="27453E68" w14:textId="77777777" w:rsidR="005F4451" w:rsidRDefault="005F4451" w:rsidP="00800557">
      <w:r>
        <w:t>Compliance with local tax legislation is the responsibility of local Finance Directors, within the framework established by Group Tax.</w:t>
      </w:r>
    </w:p>
    <w:p w14:paraId="2677F10D" w14:textId="77777777" w:rsidR="00387748" w:rsidRPr="008D631A" w:rsidRDefault="00387748" w:rsidP="00800557">
      <w:pPr>
        <w:rPr>
          <w:b/>
        </w:rPr>
      </w:pPr>
    </w:p>
    <w:p w14:paraId="62674E52" w14:textId="77777777" w:rsidR="00387748" w:rsidRPr="008D631A" w:rsidRDefault="00387748" w:rsidP="00800557">
      <w:pPr>
        <w:rPr>
          <w:b/>
        </w:rPr>
      </w:pPr>
      <w:r w:rsidRPr="008D631A">
        <w:rPr>
          <w:b/>
        </w:rPr>
        <w:t>4 TAX RISK MANAGEMENT</w:t>
      </w:r>
    </w:p>
    <w:p w14:paraId="30348E62" w14:textId="77777777" w:rsidR="00387748" w:rsidRDefault="00387748" w:rsidP="00800557"/>
    <w:p w14:paraId="6B472356" w14:textId="77777777" w:rsidR="00387748" w:rsidRDefault="00387748" w:rsidP="00800557">
      <w:r>
        <w:t xml:space="preserve">Diligent professional care and judgement will be employed to assess tax risks </w:t>
      </w:r>
      <w:r w:rsidR="004E6682">
        <w:t xml:space="preserve">(in relation both to the UK and to all other jurisdictions) </w:t>
      </w:r>
      <w:r>
        <w:t>in order to arrive at well-reasoned conclusions on how those risks should be managed. Where there is uncertainty as to the application or interpretation of tax law, appropriate written advice evidencing the facts, risks and conclusions may be obtained from third party advisers to support the decision-making process.</w:t>
      </w:r>
    </w:p>
    <w:p w14:paraId="23237D00" w14:textId="77777777" w:rsidR="00387748" w:rsidRDefault="00387748" w:rsidP="00800557"/>
    <w:p w14:paraId="237F2C10" w14:textId="77777777" w:rsidR="00387748" w:rsidRDefault="00301F21" w:rsidP="00800557">
      <w:r>
        <w:t>In considering tax</w:t>
      </w:r>
      <w:r w:rsidR="00387748">
        <w:t xml:space="preserve"> risks, the following are considered:</w:t>
      </w:r>
    </w:p>
    <w:p w14:paraId="60CA2B17" w14:textId="77777777" w:rsidR="00387748" w:rsidRDefault="00387748" w:rsidP="00800557"/>
    <w:p w14:paraId="46E403EC" w14:textId="77777777" w:rsidR="00387748" w:rsidRDefault="00387748" w:rsidP="00387748">
      <w:pPr>
        <w:pStyle w:val="ListParagraph"/>
        <w:numPr>
          <w:ilvl w:val="0"/>
          <w:numId w:val="1"/>
        </w:numPr>
      </w:pPr>
      <w:r>
        <w:t>The legal and fiduciary duties of directors and employees</w:t>
      </w:r>
      <w:r w:rsidR="005F4451">
        <w:t>;</w:t>
      </w:r>
    </w:p>
    <w:p w14:paraId="34774429" w14:textId="77777777" w:rsidR="00387748" w:rsidRDefault="00387748" w:rsidP="00387748">
      <w:pPr>
        <w:pStyle w:val="ListParagraph"/>
        <w:numPr>
          <w:ilvl w:val="0"/>
          <w:numId w:val="1"/>
        </w:numPr>
      </w:pPr>
      <w:r>
        <w:lastRenderedPageBreak/>
        <w:t xml:space="preserve">As a Group providing products to consumers, the need to preserve the Group’s </w:t>
      </w:r>
      <w:r w:rsidR="005F4451">
        <w:t>corporate reputation as a responsible corporate citizen;</w:t>
      </w:r>
    </w:p>
    <w:p w14:paraId="5E7EA10D" w14:textId="77777777" w:rsidR="005F4451" w:rsidRDefault="005F4451" w:rsidP="00387748">
      <w:pPr>
        <w:pStyle w:val="ListParagraph"/>
        <w:numPr>
          <w:ilvl w:val="0"/>
          <w:numId w:val="1"/>
        </w:numPr>
      </w:pPr>
      <w:r>
        <w:t>The wider consequences of any potential disagreement with the tax authorities (such as the impact on long-term relationships with the authorities, the impact of potential litigation on the Group’s reputation etc);</w:t>
      </w:r>
    </w:p>
    <w:p w14:paraId="3AF5467E" w14:textId="77777777" w:rsidR="005F4451" w:rsidRDefault="005F4451" w:rsidP="005F4451">
      <w:pPr>
        <w:pStyle w:val="ListParagraph"/>
      </w:pPr>
    </w:p>
    <w:p w14:paraId="6E9E1049" w14:textId="2C3A6038" w:rsidR="005F4451" w:rsidRDefault="005F4451" w:rsidP="005F4451">
      <w:pPr>
        <w:ind w:left="360"/>
      </w:pPr>
      <w:r>
        <w:t xml:space="preserve">Group Tax employs various risk management processes to ensure that the requirements of the Group Tax Policy </w:t>
      </w:r>
      <w:r w:rsidR="00DE1508">
        <w:t>Strategy are satisfied</w:t>
      </w:r>
      <w:r>
        <w:t>.</w:t>
      </w:r>
      <w:r w:rsidR="00DE1508">
        <w:t xml:space="preserve"> These include reviews of tax compliance activity across the Group and compliance and risk monitoring systems.</w:t>
      </w:r>
      <w:r w:rsidR="00BF74B4">
        <w:t xml:space="preserve"> </w:t>
      </w:r>
    </w:p>
    <w:p w14:paraId="40E3A96B" w14:textId="77777777" w:rsidR="00DE1508" w:rsidRPr="008D631A" w:rsidRDefault="00DE1508" w:rsidP="005F4451">
      <w:pPr>
        <w:ind w:left="360"/>
        <w:rPr>
          <w:b/>
        </w:rPr>
      </w:pPr>
    </w:p>
    <w:p w14:paraId="78E75319" w14:textId="77777777" w:rsidR="00DE1508" w:rsidRPr="008D631A" w:rsidRDefault="00DE1508" w:rsidP="005F4451">
      <w:pPr>
        <w:ind w:left="360"/>
        <w:rPr>
          <w:b/>
        </w:rPr>
      </w:pPr>
      <w:r w:rsidRPr="008D631A">
        <w:rPr>
          <w:b/>
        </w:rPr>
        <w:t>5 ATTITUDE TO TAX PLANNING</w:t>
      </w:r>
    </w:p>
    <w:p w14:paraId="5D6BCF21" w14:textId="77777777" w:rsidR="00DE1508" w:rsidRDefault="00DE1508" w:rsidP="005F4451">
      <w:pPr>
        <w:ind w:left="360"/>
      </w:pPr>
    </w:p>
    <w:p w14:paraId="0BF6184E" w14:textId="65405128" w:rsidR="00DE1508" w:rsidRDefault="00DE1508" w:rsidP="005F4451">
      <w:pPr>
        <w:ind w:left="360"/>
      </w:pPr>
      <w:r>
        <w:t>In relation to tax planning, the Group does aim to ensure that activities are structured tax efficiently. However, all structuring decisions are primarily motivated by commercial objectives, and tax planning is only undertaken within the parameters determined by commercially-driven decision</w:t>
      </w:r>
      <w:r w:rsidR="00301F21">
        <w:t>s, subject to the Tax Policy and factors outlined above</w:t>
      </w:r>
      <w:r>
        <w:t>.</w:t>
      </w:r>
      <w:r w:rsidR="008233DF">
        <w:t xml:space="preserve"> In addition, all inter-company arrangements are undertaken according to the arm’s length principle.</w:t>
      </w:r>
    </w:p>
    <w:p w14:paraId="7B0F30B7" w14:textId="77777777" w:rsidR="00B9074E" w:rsidRDefault="00B9074E" w:rsidP="005F4451">
      <w:pPr>
        <w:ind w:left="360"/>
      </w:pPr>
    </w:p>
    <w:p w14:paraId="10CCC828" w14:textId="77777777" w:rsidR="00B9074E" w:rsidRDefault="00B9074E" w:rsidP="005F4451">
      <w:pPr>
        <w:ind w:left="360"/>
      </w:pPr>
      <w:r>
        <w:t>The Group does benefit from various reliefs and incentives offered by local tax legislation.</w:t>
      </w:r>
    </w:p>
    <w:p w14:paraId="1B275AC2" w14:textId="77777777" w:rsidR="00B9074E" w:rsidRDefault="00B9074E" w:rsidP="005F4451">
      <w:pPr>
        <w:ind w:left="360"/>
      </w:pPr>
    </w:p>
    <w:p w14:paraId="4FD18F1B" w14:textId="77777777" w:rsidR="00B9074E" w:rsidRDefault="00B9074E" w:rsidP="005F4451">
      <w:pPr>
        <w:ind w:left="360"/>
      </w:pPr>
      <w:r>
        <w:t xml:space="preserve">There may be circumstances where rules are not clear or there may be alternative approaches. In these circumstances, the Group will </w:t>
      </w:r>
      <w:r w:rsidR="00301F21">
        <w:t xml:space="preserve">often </w:t>
      </w:r>
      <w:r>
        <w:t>consult third party advisers and exercise its judgement to determine the most appropriate course of action.</w:t>
      </w:r>
    </w:p>
    <w:p w14:paraId="356BD55A" w14:textId="77777777" w:rsidR="00B9074E" w:rsidRPr="008D631A" w:rsidRDefault="00B9074E" w:rsidP="005F4451">
      <w:pPr>
        <w:ind w:left="360"/>
        <w:rPr>
          <w:b/>
        </w:rPr>
      </w:pPr>
    </w:p>
    <w:p w14:paraId="04E4AFAC" w14:textId="77777777" w:rsidR="00B9074E" w:rsidRPr="008D631A" w:rsidRDefault="00B9074E" w:rsidP="005F4451">
      <w:pPr>
        <w:ind w:left="360"/>
        <w:rPr>
          <w:b/>
        </w:rPr>
      </w:pPr>
      <w:r w:rsidRPr="008D631A">
        <w:rPr>
          <w:b/>
        </w:rPr>
        <w:t xml:space="preserve">6 </w:t>
      </w:r>
      <w:r w:rsidR="00703AB6" w:rsidRPr="008D631A">
        <w:rPr>
          <w:b/>
        </w:rPr>
        <w:t>RELATIONSHIPS WITH TAX AUTHORITIES</w:t>
      </w:r>
    </w:p>
    <w:p w14:paraId="54340205" w14:textId="77777777" w:rsidR="00703AB6" w:rsidRDefault="00703AB6" w:rsidP="005F4451">
      <w:pPr>
        <w:ind w:left="360"/>
      </w:pPr>
    </w:p>
    <w:p w14:paraId="6A3E5DEB" w14:textId="77777777" w:rsidR="00703AB6" w:rsidRDefault="00703AB6" w:rsidP="005F4451">
      <w:pPr>
        <w:ind w:left="360"/>
      </w:pPr>
      <w:r>
        <w:t>The Group has reviewed the guidance published by HM Revenue &amp; Customs about how it wishes to engage with the largest companies and is fully committed to the application of this model of interaction. This involves ensuring that dealing with all tax authorities and other bodies is conducted in a collaborative, timely and courteous manner and in a spirit of openness and constructive dialogue. The Group attempts to keep HM Revenue and Customs and other tax authorities appraised of developments on a real time basis wherever possible, in order to ensure that any concerns raised can be resolved without jeopardising the long-term relationship between the Group and tax authorities.</w:t>
      </w:r>
    </w:p>
    <w:p w14:paraId="75A5F3FC" w14:textId="77777777" w:rsidR="00DE1508" w:rsidRPr="008D631A" w:rsidRDefault="00DE1508" w:rsidP="005F4451">
      <w:pPr>
        <w:ind w:left="360"/>
        <w:rPr>
          <w:b/>
        </w:rPr>
      </w:pPr>
    </w:p>
    <w:p w14:paraId="7A8DEECC" w14:textId="77777777" w:rsidR="00DE1508" w:rsidRPr="008D631A" w:rsidRDefault="00330BBA" w:rsidP="005F4451">
      <w:pPr>
        <w:ind w:left="360"/>
        <w:rPr>
          <w:b/>
        </w:rPr>
      </w:pPr>
      <w:r w:rsidRPr="008D631A">
        <w:rPr>
          <w:b/>
        </w:rPr>
        <w:t>7 FURTHER INFORMATION</w:t>
      </w:r>
    </w:p>
    <w:p w14:paraId="320F09D0" w14:textId="77777777" w:rsidR="00330BBA" w:rsidRDefault="00330BBA" w:rsidP="005F4451">
      <w:pPr>
        <w:ind w:left="360"/>
      </w:pPr>
    </w:p>
    <w:p w14:paraId="05F8343A" w14:textId="77777777" w:rsidR="00330BBA" w:rsidRDefault="00330BBA" w:rsidP="005F4451">
      <w:pPr>
        <w:ind w:left="360"/>
      </w:pPr>
      <w:r>
        <w:t>For further information about the Grou</w:t>
      </w:r>
      <w:r w:rsidR="00643654">
        <w:t xml:space="preserve">p’s Tax Strategy, please email </w:t>
      </w:r>
      <w:hyperlink r:id="rId6" w:history="1">
        <w:r w:rsidR="00643654" w:rsidRPr="000E10B5">
          <w:rPr>
            <w:rStyle w:val="Hyperlink"/>
          </w:rPr>
          <w:t>Info@NomadFoods.com</w:t>
        </w:r>
      </w:hyperlink>
      <w:r w:rsidR="00643654">
        <w:t>.</w:t>
      </w:r>
    </w:p>
    <w:p w14:paraId="1DF8495F" w14:textId="77777777" w:rsidR="00643654" w:rsidRDefault="00643654" w:rsidP="005F4451">
      <w:pPr>
        <w:ind w:left="360"/>
      </w:pPr>
    </w:p>
    <w:sectPr w:rsidR="00643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62DF"/>
    <w:multiLevelType w:val="hybridMultilevel"/>
    <w:tmpl w:val="45E0FE24"/>
    <w:lvl w:ilvl="0" w:tplc="1308794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23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57"/>
    <w:rsid w:val="000724DA"/>
    <w:rsid w:val="001840C5"/>
    <w:rsid w:val="00301F21"/>
    <w:rsid w:val="00330BBA"/>
    <w:rsid w:val="003377CF"/>
    <w:rsid w:val="00387748"/>
    <w:rsid w:val="003E42FF"/>
    <w:rsid w:val="00402DEF"/>
    <w:rsid w:val="004E6682"/>
    <w:rsid w:val="00551673"/>
    <w:rsid w:val="00581D28"/>
    <w:rsid w:val="005A6132"/>
    <w:rsid w:val="005D7D0F"/>
    <w:rsid w:val="005F4451"/>
    <w:rsid w:val="00643654"/>
    <w:rsid w:val="00703AB6"/>
    <w:rsid w:val="0078255E"/>
    <w:rsid w:val="00800557"/>
    <w:rsid w:val="008233DF"/>
    <w:rsid w:val="008D631A"/>
    <w:rsid w:val="00930D13"/>
    <w:rsid w:val="00934053"/>
    <w:rsid w:val="00AC4BCE"/>
    <w:rsid w:val="00B0605D"/>
    <w:rsid w:val="00B9074E"/>
    <w:rsid w:val="00BF74B4"/>
    <w:rsid w:val="00D82A97"/>
    <w:rsid w:val="00DA6DDD"/>
    <w:rsid w:val="00DD3CAB"/>
    <w:rsid w:val="00DE1508"/>
    <w:rsid w:val="00EA1B4C"/>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6B98"/>
  <w15:chartTrackingRefBased/>
  <w15:docId w15:val="{343C1909-808A-4FEB-AED6-F95BDF7C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57"/>
    <w:pPr>
      <w:ind w:left="720"/>
      <w:contextualSpacing/>
    </w:pPr>
  </w:style>
  <w:style w:type="paragraph" w:styleId="BalloonText">
    <w:name w:val="Balloon Text"/>
    <w:basedOn w:val="Normal"/>
    <w:link w:val="BalloonTextChar"/>
    <w:uiPriority w:val="99"/>
    <w:semiHidden/>
    <w:unhideWhenUsed/>
    <w:rsid w:val="006436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654"/>
    <w:rPr>
      <w:rFonts w:ascii="Segoe UI" w:hAnsi="Segoe UI" w:cs="Segoe UI"/>
      <w:sz w:val="18"/>
      <w:szCs w:val="18"/>
    </w:rPr>
  </w:style>
  <w:style w:type="character" w:styleId="Hyperlink">
    <w:name w:val="Hyperlink"/>
    <w:basedOn w:val="DefaultParagraphFont"/>
    <w:uiPriority w:val="99"/>
    <w:unhideWhenUsed/>
    <w:rsid w:val="00643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omadFoo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020F-7BC8-485F-8750-CEB91C08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Iglo Foods Group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Marek</dc:creator>
  <cp:keywords/>
  <dc:description/>
  <cp:lastModifiedBy>Fletcher, Marek</cp:lastModifiedBy>
  <cp:revision>2</cp:revision>
  <cp:lastPrinted>2023-07-04T14:17:00Z</cp:lastPrinted>
  <dcterms:created xsi:type="dcterms:W3CDTF">2024-09-23T15:16:00Z</dcterms:created>
  <dcterms:modified xsi:type="dcterms:W3CDTF">2024-09-23T15:16:00Z</dcterms:modified>
</cp:coreProperties>
</file>